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80" w:rsidRDefault="00106238">
      <w:pPr>
        <w:spacing w:line="240" w:lineRule="auto"/>
        <w:ind w:left="2" w:hanging="4"/>
        <w:jc w:val="center"/>
        <w:rPr>
          <w:color w:val="202124"/>
          <w:sz w:val="44"/>
          <w:szCs w:val="44"/>
          <w:highlight w:val="white"/>
        </w:rPr>
      </w:pPr>
      <w:r>
        <w:rPr>
          <w:b/>
          <w:color w:val="202124"/>
          <w:sz w:val="44"/>
          <w:szCs w:val="44"/>
          <w:highlight w:val="white"/>
        </w:rPr>
        <w:t>CASE STUDY</w:t>
      </w:r>
    </w:p>
    <w:p w:rsidR="00546780" w:rsidRDefault="00106238">
      <w:pPr>
        <w:spacing w:line="240" w:lineRule="auto"/>
        <w:ind w:left="1" w:hanging="3"/>
        <w:jc w:val="center"/>
        <w:rPr>
          <w:color w:val="202124"/>
          <w:sz w:val="28"/>
          <w:szCs w:val="28"/>
          <w:highlight w:val="white"/>
        </w:rPr>
      </w:pPr>
      <w:r>
        <w:rPr>
          <w:b/>
          <w:color w:val="202124"/>
          <w:sz w:val="28"/>
          <w:szCs w:val="28"/>
          <w:highlight w:val="white"/>
        </w:rPr>
        <w:t>Described for the project: “The Hexagonal Leader”</w:t>
      </w:r>
    </w:p>
    <w:tbl>
      <w:tblPr>
        <w:tblStyle w:val="a"/>
        <w:tblW w:w="10348" w:type="dxa"/>
        <w:tblInd w:w="-601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Name of the organization</w:t>
            </w:r>
          </w:p>
        </w:tc>
      </w:tr>
      <w:tr w:rsidR="00546780">
        <w:tc>
          <w:tcPr>
            <w:tcW w:w="10348" w:type="dxa"/>
          </w:tcPr>
          <w:p w:rsidR="00546780" w:rsidRDefault="0054678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  <w:p w:rsidR="00546780" w:rsidRDefault="002D09A5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 w:rsidRPr="0047467C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</w:t>
            </w:r>
            <w:r w:rsidRPr="0047467C">
              <w:rPr>
                <w:sz w:val="24"/>
                <w:szCs w:val="24"/>
                <w:shd w:val="clear" w:color="auto" w:fill="FFFFFF"/>
                <w:lang w:val="it-IT"/>
              </w:rPr>
              <w:t>.M. S.p.A.</w:t>
            </w:r>
          </w:p>
          <w:p w:rsidR="00546780" w:rsidRDefault="0054678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Website of the organization</w:t>
            </w:r>
          </w:p>
        </w:tc>
      </w:tr>
      <w:tr w:rsidR="00546780">
        <w:tc>
          <w:tcPr>
            <w:tcW w:w="10348" w:type="dxa"/>
          </w:tcPr>
          <w:p w:rsidR="00546780" w:rsidRDefault="0054678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  <w:p w:rsidR="00546780" w:rsidRDefault="00106238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color w:val="202124"/>
                <w:sz w:val="24"/>
                <w:szCs w:val="24"/>
                <w:highlight w:val="white"/>
              </w:rPr>
              <w:t>https://</w:t>
            </w:r>
            <w:r w:rsidR="002D09A5" w:rsidRPr="00B81593">
              <w:t xml:space="preserve"> </w:t>
            </w:r>
            <w:r w:rsidR="002D09A5" w:rsidRPr="002D09A5">
              <w:rPr>
                <w:color w:val="202124"/>
                <w:sz w:val="24"/>
                <w:szCs w:val="24"/>
              </w:rPr>
              <w:t>www.pm-spa.it</w:t>
            </w:r>
          </w:p>
          <w:p w:rsidR="00546780" w:rsidRDefault="0054678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Logotype of the organization</w:t>
            </w:r>
          </w:p>
        </w:tc>
      </w:tr>
      <w:tr w:rsidR="00546780">
        <w:tc>
          <w:tcPr>
            <w:tcW w:w="10348" w:type="dxa"/>
          </w:tcPr>
          <w:p w:rsidR="002D09A5" w:rsidRDefault="002D09A5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</w:rPr>
            </w:pPr>
          </w:p>
          <w:p w:rsidR="00546780" w:rsidRDefault="002D09A5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 w:rsidRPr="00B970CF">
              <w:rPr>
                <w:noProof/>
                <w:lang w:val="it-IT" w:eastAsia="it-IT"/>
              </w:rPr>
              <w:drawing>
                <wp:inline distT="0" distB="0" distL="0" distR="0">
                  <wp:extent cx="2589530" cy="870585"/>
                  <wp:effectExtent l="0" t="0" r="1270" b="571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9530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9A5" w:rsidRDefault="002D09A5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Type of organization</w:t>
            </w:r>
          </w:p>
        </w:tc>
      </w:tr>
      <w:tr w:rsidR="00546780">
        <w:tc>
          <w:tcPr>
            <w:tcW w:w="10348" w:type="dxa"/>
          </w:tcPr>
          <w:p w:rsidR="00546780" w:rsidRDefault="00546780">
            <w:pPr>
              <w:spacing w:after="0" w:line="240" w:lineRule="auto"/>
              <w:ind w:left="0" w:hanging="2"/>
              <w:rPr>
                <w:color w:val="365F91"/>
                <w:sz w:val="24"/>
                <w:szCs w:val="24"/>
              </w:rPr>
            </w:pPr>
          </w:p>
          <w:p w:rsidR="00546780" w:rsidRDefault="00106238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b/>
                <w:color w:val="365F91"/>
                <w:sz w:val="24"/>
                <w:szCs w:val="24"/>
              </w:rPr>
              <w:t xml:space="preserve">X </w:t>
            </w:r>
            <w:r>
              <w:rPr>
                <w:color w:val="202124"/>
                <w:sz w:val="24"/>
                <w:szCs w:val="24"/>
                <w:highlight w:val="white"/>
              </w:rPr>
              <w:t>Business organization</w:t>
            </w:r>
          </w:p>
          <w:p w:rsidR="00546780" w:rsidRDefault="00106238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b/>
                <w:color w:val="365F91"/>
                <w:sz w:val="24"/>
                <w:szCs w:val="24"/>
              </w:rPr>
              <w:t xml:space="preserve">☐ </w:t>
            </w:r>
            <w:r>
              <w:rPr>
                <w:color w:val="202124"/>
                <w:sz w:val="24"/>
                <w:szCs w:val="24"/>
                <w:highlight w:val="white"/>
              </w:rPr>
              <w:t>Public administration</w:t>
            </w:r>
          </w:p>
          <w:p w:rsidR="00546780" w:rsidRDefault="00106238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b/>
                <w:color w:val="365F91"/>
                <w:sz w:val="24"/>
                <w:szCs w:val="24"/>
              </w:rPr>
              <w:t xml:space="preserve">☐ </w:t>
            </w:r>
            <w:r>
              <w:rPr>
                <w:color w:val="202124"/>
                <w:sz w:val="24"/>
                <w:szCs w:val="24"/>
                <w:highlight w:val="white"/>
              </w:rPr>
              <w:t>NGO’s</w:t>
            </w:r>
          </w:p>
          <w:p w:rsidR="00546780" w:rsidRDefault="00106238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b/>
                <w:color w:val="365F91"/>
                <w:sz w:val="24"/>
                <w:szCs w:val="24"/>
              </w:rPr>
              <w:t xml:space="preserve">☐ </w:t>
            </w:r>
            <w:r>
              <w:rPr>
                <w:color w:val="202124"/>
                <w:sz w:val="24"/>
                <w:szCs w:val="24"/>
                <w:highlight w:val="white"/>
              </w:rPr>
              <w:t>Others (what kind?) …………………………………..</w:t>
            </w:r>
          </w:p>
          <w:p w:rsidR="00546780" w:rsidRDefault="0054678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Size of the organization</w:t>
            </w:r>
          </w:p>
        </w:tc>
      </w:tr>
      <w:tr w:rsidR="00546780">
        <w:tc>
          <w:tcPr>
            <w:tcW w:w="10348" w:type="dxa"/>
          </w:tcPr>
          <w:p w:rsidR="00546780" w:rsidRDefault="00546780">
            <w:pPr>
              <w:spacing w:after="0" w:line="240" w:lineRule="auto"/>
              <w:ind w:left="0" w:hanging="2"/>
              <w:rPr>
                <w:color w:val="365F91"/>
                <w:sz w:val="24"/>
                <w:szCs w:val="24"/>
              </w:rPr>
            </w:pPr>
          </w:p>
          <w:p w:rsidR="00546780" w:rsidRDefault="002D09A5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b/>
                <w:color w:val="365F91"/>
                <w:sz w:val="24"/>
                <w:szCs w:val="24"/>
              </w:rPr>
              <w:t>☐</w:t>
            </w:r>
            <w:r w:rsidR="00106238">
              <w:rPr>
                <w:color w:val="202124"/>
                <w:sz w:val="24"/>
                <w:szCs w:val="24"/>
                <w:highlight w:val="white"/>
              </w:rPr>
              <w:t>Small</w:t>
            </w:r>
          </w:p>
          <w:p w:rsidR="00546780" w:rsidRDefault="002D09A5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b/>
                <w:color w:val="365F91"/>
                <w:sz w:val="24"/>
                <w:szCs w:val="24"/>
              </w:rPr>
              <w:t xml:space="preserve">X </w:t>
            </w:r>
            <w:r w:rsidR="00106238">
              <w:rPr>
                <w:b/>
                <w:sz w:val="24"/>
                <w:szCs w:val="24"/>
              </w:rPr>
              <w:t xml:space="preserve"> </w:t>
            </w:r>
            <w:r w:rsidR="00106238">
              <w:rPr>
                <w:color w:val="202124"/>
                <w:sz w:val="24"/>
                <w:szCs w:val="24"/>
                <w:highlight w:val="white"/>
              </w:rPr>
              <w:t>Medium</w:t>
            </w:r>
          </w:p>
          <w:p w:rsidR="00546780" w:rsidRDefault="00106238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b/>
                <w:color w:val="365F91"/>
                <w:sz w:val="24"/>
                <w:szCs w:val="24"/>
              </w:rPr>
              <w:t>☐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202124"/>
                <w:sz w:val="24"/>
                <w:szCs w:val="24"/>
                <w:highlight w:val="white"/>
              </w:rPr>
              <w:t>Large</w:t>
            </w:r>
          </w:p>
          <w:p w:rsidR="00546780" w:rsidRDefault="0054678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Economic sector</w:t>
            </w:r>
          </w:p>
        </w:tc>
      </w:tr>
      <w:tr w:rsidR="00546780">
        <w:tc>
          <w:tcPr>
            <w:tcW w:w="10348" w:type="dxa"/>
          </w:tcPr>
          <w:p w:rsidR="00546780" w:rsidRDefault="0054678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  <w:p w:rsidR="002D09A5" w:rsidRDefault="002D09A5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 w:rsidRPr="001F114F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Economic sector: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D049D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mechanics</w:t>
            </w:r>
          </w:p>
          <w:p w:rsidR="00546780" w:rsidRDefault="00106238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color w:val="202124"/>
                <w:sz w:val="24"/>
                <w:szCs w:val="24"/>
                <w:highlight w:val="white"/>
              </w:rPr>
              <w:t xml:space="preserve"> </w:t>
            </w:r>
          </w:p>
          <w:p w:rsidR="00546780" w:rsidRDefault="0054678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lastRenderedPageBreak/>
              <w:t>Brief description of the organization</w:t>
            </w:r>
          </w:p>
        </w:tc>
      </w:tr>
      <w:tr w:rsidR="00546780">
        <w:tc>
          <w:tcPr>
            <w:tcW w:w="10348" w:type="dxa"/>
          </w:tcPr>
          <w:p w:rsidR="00E76BFE" w:rsidRPr="00E76BFE" w:rsidRDefault="00E76BFE" w:rsidP="00E76BFE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P.M. S.p.a.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Italian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reality of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mechanical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machining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precision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assembly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boasts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important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collaborations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partnerships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for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nationally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internationally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renowned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brands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in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different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sectors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offering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co-design,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engineering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prototyping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services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well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mechanical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processing, mass production and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final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assembly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complex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groups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. The company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supplies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following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sectors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: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automotive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cycling,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motorcycle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road and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racing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nautical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hydraulic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-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oil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-pressure,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energy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robotics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.</w:t>
            </w:r>
          </w:p>
          <w:p w:rsidR="00E76BFE" w:rsidRPr="00E76BFE" w:rsidRDefault="00E76BFE" w:rsidP="00E76BFE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Innovation, Training,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Research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constitute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three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pillars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company's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success.</w:t>
            </w:r>
          </w:p>
          <w:p w:rsidR="00E76BFE" w:rsidRPr="00E76BFE" w:rsidRDefault="00E76BFE" w:rsidP="00E76BFE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Innovation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fundamental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factor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for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maintaining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competitiveness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in the market.</w:t>
            </w:r>
          </w:p>
          <w:p w:rsidR="005E09F8" w:rsidRDefault="00E76BFE" w:rsidP="00E76BFE">
            <w:pPr>
              <w:spacing w:after="0"/>
              <w:ind w:left="0" w:hanging="2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In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field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mechanical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processing, the company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has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most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advanced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technologies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most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flexible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production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systems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for a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highly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performing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truly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competitive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response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. Training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that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involves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both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younger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more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experienced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resources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.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search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for innovative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solutions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aligned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with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customer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requests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.</w:t>
            </w:r>
          </w:p>
          <w:p w:rsidR="00E76BFE" w:rsidRDefault="00E76BFE" w:rsidP="00E76BFE">
            <w:pP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Case study description (situation / the problem they are facing)  [max 2000 characters]</w:t>
            </w:r>
          </w:p>
        </w:tc>
      </w:tr>
      <w:tr w:rsidR="00546780">
        <w:tc>
          <w:tcPr>
            <w:tcW w:w="10348" w:type="dxa"/>
          </w:tcPr>
          <w:p w:rsidR="00E76BFE" w:rsidRPr="00E76BFE" w:rsidRDefault="00E76BFE" w:rsidP="00E76BFE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Market and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process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innovations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combined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with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technological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innovations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represent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daily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challenges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for the company. To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cope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with new and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renewed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needs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the company must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necessarily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focus on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digitization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processes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interconnection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departments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structures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to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optimize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both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production and information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flows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.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together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with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these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challenges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that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company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has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been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managing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for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several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years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theme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manager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transition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aligned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by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identifying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new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figures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who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are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able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to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oversee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strategic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urgent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functions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.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Change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management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to be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considered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main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focus to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accompany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company in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digital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transformation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process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4.0,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recognizing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importance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supporting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monitoring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organizational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change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that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derives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from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transversally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evaluating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technical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aspects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analysis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organizational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constraints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(model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organizational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redefinition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tasks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change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operating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methods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) and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behavioral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aspects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(new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operating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methods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training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resistance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to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change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).</w:t>
            </w:r>
          </w:p>
          <w:p w:rsidR="00E76BFE" w:rsidRPr="00E76BFE" w:rsidRDefault="00E76BFE" w:rsidP="00E76BFE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The company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has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developed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awareness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that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people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must be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guided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acquire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skills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they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do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not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have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acquire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new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skills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. People must be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center,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especially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in a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change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dictated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by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completely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new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technologies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with an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absence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trust in the first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instance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due to a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lack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knowledge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tools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their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benefits.</w:t>
            </w:r>
          </w:p>
          <w:p w:rsidR="00E76BFE" w:rsidRPr="00E76BFE" w:rsidRDefault="00E76BFE" w:rsidP="00E76BFE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In a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process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change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such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one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that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P.M. S.p.A.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constant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implementations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towards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Industry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"4.0" must be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accompanied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by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organizational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innovations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. I. 4.0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not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 "disruptive"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technology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!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does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not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eliminate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people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indeed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on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contrary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can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enhance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them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even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more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long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we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work on a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redesign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processes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(Digital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Transformation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&amp; Open Innovation in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integration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information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systems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).</w:t>
            </w:r>
          </w:p>
          <w:p w:rsidR="00E76BFE" w:rsidRPr="00E76BFE" w:rsidRDefault="00E76BFE" w:rsidP="00E76BFE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need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therefore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to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steer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transition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phase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by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identifying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new ways of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integration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exchange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sharing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operational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activation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necessary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changes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.</w:t>
            </w:r>
          </w:p>
          <w:p w:rsidR="002D09A5" w:rsidRDefault="002D09A5">
            <w:pP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  <w:p w:rsidR="002D09A5" w:rsidRDefault="002D09A5">
            <w:pP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lastRenderedPageBreak/>
              <w:t>Suggested solutions (added pros and cons)</w:t>
            </w:r>
          </w:p>
        </w:tc>
      </w:tr>
      <w:tr w:rsidR="00546780">
        <w:tc>
          <w:tcPr>
            <w:tcW w:w="10348" w:type="dxa"/>
          </w:tcPr>
          <w:p w:rsidR="00E76BFE" w:rsidRPr="00E76BFE" w:rsidRDefault="00E76BFE" w:rsidP="00E76BF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Identify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technologies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that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can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lead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company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towards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organization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structured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by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processes</w:t>
            </w:r>
            <w:proofErr w:type="spellEnd"/>
          </w:p>
          <w:p w:rsidR="00E76BFE" w:rsidRPr="00E76BFE" w:rsidRDefault="00E76BFE" w:rsidP="00E76BF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Integrate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technologies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managerial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skills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by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defining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internal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figures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within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company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capable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following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process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technological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organizational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innovation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identifying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research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development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manager to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oversee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monitor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innovation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area and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digitalization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processes</w:t>
            </w:r>
            <w:proofErr w:type="spellEnd"/>
          </w:p>
          <w:p w:rsidR="00E76BFE" w:rsidRPr="00E76BFE" w:rsidRDefault="00E76BFE" w:rsidP="00E76BF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Identify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external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company to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accompany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company in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change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process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.</w:t>
            </w:r>
          </w:p>
          <w:p w:rsidR="005E09F8" w:rsidRDefault="005E09F8">
            <w:pP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Chosen solution</w:t>
            </w:r>
          </w:p>
        </w:tc>
      </w:tr>
      <w:tr w:rsidR="00546780">
        <w:tc>
          <w:tcPr>
            <w:tcW w:w="10348" w:type="dxa"/>
          </w:tcPr>
          <w:p w:rsidR="00E76BFE" w:rsidRPr="00E76BFE" w:rsidRDefault="00E76BFE" w:rsidP="00E76BFE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Integrate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technologies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managerial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skills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by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identifying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internal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figures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within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company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able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to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follow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process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technological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organizational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innovation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defining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research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development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manager to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oversee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monitor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innovation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digitalization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processes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.</w:t>
            </w:r>
          </w:p>
          <w:p w:rsidR="00E76BFE" w:rsidRPr="00E76BFE" w:rsidRDefault="00E76BFE" w:rsidP="00E76BFE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CHANGE MANAGEMENT and INDUSTRY 4.0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together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to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develop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projects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consistent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with company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objectives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. A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path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consisting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various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steps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for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which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skilled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figures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are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required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who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coordinate,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manage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guide,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empower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share information,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motivating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people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with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perseverance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meticulousness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strong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determination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with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aim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always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reaching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set goal.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not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question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turning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page,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but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accelerating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change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that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in P.M. S.p.A.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has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 double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value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: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organizational-technological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planning of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generational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transition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.</w:t>
            </w:r>
          </w:p>
          <w:p w:rsidR="005E09F8" w:rsidRDefault="005E09F8">
            <w:pP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Rationale of the decision taken</w:t>
            </w:r>
          </w:p>
        </w:tc>
      </w:tr>
      <w:tr w:rsidR="00546780">
        <w:tc>
          <w:tcPr>
            <w:tcW w:w="10348" w:type="dxa"/>
          </w:tcPr>
          <w:p w:rsidR="00E76BFE" w:rsidRPr="00E76BFE" w:rsidRDefault="00E76BFE" w:rsidP="00E76BFE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 family business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where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new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generations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have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gained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experience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abroad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in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other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productive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realities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in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possession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adequate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skills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to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support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innovations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in progress.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historic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owner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has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decided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to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entrust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new generation with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supervision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innovation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technology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area.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reasons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that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have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guided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choice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lie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in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recognition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skills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the new generation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that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has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deepened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its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training with post-graduate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masters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in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recent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years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.</w:t>
            </w:r>
          </w:p>
          <w:p w:rsidR="00E76BFE" w:rsidRPr="00E76BFE" w:rsidRDefault="00E76BFE" w:rsidP="00E76BFE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innovation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ITC area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one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most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innovative and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strategic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areas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the company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that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must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continually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compete with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both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increasingly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demanding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clients and with a competitive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environment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that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particularly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attentive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to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innovations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.</w:t>
            </w:r>
          </w:p>
          <w:p w:rsidR="002D09A5" w:rsidRDefault="002D09A5" w:rsidP="002D09A5">
            <w:pP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Solution implemented in practice</w:t>
            </w:r>
          </w:p>
        </w:tc>
      </w:tr>
      <w:tr w:rsidR="00546780">
        <w:tc>
          <w:tcPr>
            <w:tcW w:w="10348" w:type="dxa"/>
          </w:tcPr>
          <w:p w:rsidR="00E76BFE" w:rsidRPr="00E76BFE" w:rsidRDefault="00E76BFE" w:rsidP="00E76BFE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In the face of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significant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investments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in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technological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innovations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integrated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information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systems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have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been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developed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that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put the production,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logistics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warehouse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administration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areas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in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contact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in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real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time.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These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systems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have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 impact on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working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methods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times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by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offering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possibility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monitoring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phases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the production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process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even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remotely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.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This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implemented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solution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was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overseen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by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internal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ITC Innovation Manager in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collaboration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with companies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experienced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in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integrated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systems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also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provided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for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support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personnel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involved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in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various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capacities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in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main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business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processes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.</w:t>
            </w:r>
          </w:p>
          <w:p w:rsidR="002D09A5" w:rsidRDefault="00E76BFE" w:rsidP="00E76BFE">
            <w:pPr>
              <w:spacing w:after="0"/>
              <w:ind w:left="0" w:hanging="2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lastRenderedPageBreak/>
              <w:t xml:space="preserve">The Innovation manager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has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 decisive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role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both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for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supervision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identification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technologies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systems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more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consistent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with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needs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the company and for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support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human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resources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(training in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support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for the use of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integrated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systems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potential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).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identified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Innovation Manager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 figure with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process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business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organization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technological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skills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who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favors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orientation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business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processes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towards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business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innovation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stimulating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use of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enabling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technologies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more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correct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for the company and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transformation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work and production in a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digital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perspective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. The Innovation manager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conducts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research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in the company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towards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best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strategic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opportunities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taking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advantage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digital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transformation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.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Specialist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in Smart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Factory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Industry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4.0, 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has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 innovative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mentality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(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active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thinker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),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identifies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solves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problems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work and in life with training on design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thinking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open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innovation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integrates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soft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skills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Hard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Skills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essential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to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accompany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manager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transition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.</w:t>
            </w:r>
          </w:p>
          <w:p w:rsidR="00E76BFE" w:rsidRDefault="00E76BFE" w:rsidP="00E76BFE">
            <w:pP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lastRenderedPageBreak/>
              <w:t>Lesson learned</w:t>
            </w:r>
          </w:p>
        </w:tc>
      </w:tr>
      <w:tr w:rsidR="00546780">
        <w:tc>
          <w:tcPr>
            <w:tcW w:w="10348" w:type="dxa"/>
          </w:tcPr>
          <w:p w:rsidR="00E76BFE" w:rsidRPr="00E76BFE" w:rsidRDefault="00E76BFE" w:rsidP="00E76BFE">
            <w:pPr>
              <w:pStyle w:val="Testocommento"/>
              <w:spacing w:after="0"/>
              <w:jc w:val="both"/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E76BFE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The </w:t>
            </w:r>
            <w:proofErr w:type="spellStart"/>
            <w:r w:rsidRPr="00E76BFE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mainly</w:t>
            </w:r>
            <w:proofErr w:type="spellEnd"/>
            <w:r w:rsidRPr="00E76BFE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technological</w:t>
            </w:r>
            <w:proofErr w:type="spellEnd"/>
            <w:r w:rsidRPr="00E76BFE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innovations</w:t>
            </w:r>
            <w:proofErr w:type="spellEnd"/>
            <w:r w:rsidRPr="00E76BFE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introduced</w:t>
            </w:r>
            <w:proofErr w:type="spellEnd"/>
            <w:r w:rsidRPr="00E76BFE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in the company in an </w:t>
            </w:r>
            <w:proofErr w:type="spellStart"/>
            <w:r w:rsidRPr="00E76BFE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initial</w:t>
            </w:r>
            <w:proofErr w:type="spellEnd"/>
            <w:r w:rsidRPr="00E76BFE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phase</w:t>
            </w:r>
            <w:proofErr w:type="spellEnd"/>
            <w:r w:rsidRPr="00E76BFE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have</w:t>
            </w:r>
            <w:proofErr w:type="spellEnd"/>
            <w:r w:rsidRPr="00E76BFE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encountered</w:t>
            </w:r>
            <w:proofErr w:type="spellEnd"/>
            <w:r w:rsidRPr="00E76BFE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some </w:t>
            </w:r>
            <w:proofErr w:type="spellStart"/>
            <w:r w:rsidRPr="00E76BFE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difficulties</w:t>
            </w:r>
            <w:proofErr w:type="spellEnd"/>
            <w:r w:rsidRPr="00E76BFE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in </w:t>
            </w:r>
            <w:proofErr w:type="spellStart"/>
            <w:r w:rsidRPr="00E76BFE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implementation</w:t>
            </w:r>
            <w:proofErr w:type="spellEnd"/>
            <w:r w:rsidRPr="00E76BFE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due to </w:t>
            </w:r>
            <w:proofErr w:type="spellStart"/>
            <w:r w:rsidRPr="00E76BFE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resistance</w:t>
            </w:r>
            <w:proofErr w:type="spellEnd"/>
            <w:r w:rsidRPr="00E76BFE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to </w:t>
            </w:r>
            <w:proofErr w:type="spellStart"/>
            <w:r w:rsidRPr="00E76BFE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change</w:t>
            </w:r>
            <w:proofErr w:type="spellEnd"/>
            <w:r w:rsidRPr="00E76BFE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both</w:t>
            </w:r>
            <w:proofErr w:type="spellEnd"/>
            <w:r w:rsidRPr="00E76BFE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by the </w:t>
            </w:r>
            <w:proofErr w:type="spellStart"/>
            <w:r w:rsidRPr="00E76BFE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owners</w:t>
            </w:r>
            <w:proofErr w:type="spellEnd"/>
            <w:r w:rsidRPr="00E76BFE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by the </w:t>
            </w:r>
            <w:proofErr w:type="spellStart"/>
            <w:r w:rsidRPr="00E76BFE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resources</w:t>
            </w:r>
            <w:proofErr w:type="spellEnd"/>
            <w:r w:rsidRPr="00E76BFE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employed</w:t>
            </w:r>
            <w:proofErr w:type="spellEnd"/>
            <w:r w:rsidRPr="00E76BFE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in the company in </w:t>
            </w:r>
            <w:proofErr w:type="spellStart"/>
            <w:r w:rsidRPr="00E76BFE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various</w:t>
            </w:r>
            <w:proofErr w:type="spellEnd"/>
            <w:r w:rsidRPr="00E76BFE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capacities</w:t>
            </w:r>
            <w:proofErr w:type="spellEnd"/>
            <w:r w:rsidRPr="00E76BFE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.</w:t>
            </w:r>
          </w:p>
          <w:p w:rsidR="002D09A5" w:rsidRDefault="00E76BFE" w:rsidP="00E76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development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implementation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innovations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found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space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had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concrete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results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in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optimization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production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processes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only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when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internal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(new generation) figure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was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identified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legitimized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by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owner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who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had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task of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initiating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process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change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.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Identifying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areas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that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can be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covered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by the new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generations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providing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tools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supports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together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can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represent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 way of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recognizing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roles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developing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new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opportunities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for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both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people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business,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facilitating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process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planning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generational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change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.</w:t>
            </w:r>
          </w:p>
          <w:p w:rsidR="00E76BFE" w:rsidRDefault="00E76BFE" w:rsidP="00E76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Connection to the six skills depicted in the project</w:t>
            </w:r>
          </w:p>
        </w:tc>
      </w:tr>
      <w:tr w:rsidR="00546780">
        <w:tc>
          <w:tcPr>
            <w:tcW w:w="10348" w:type="dxa"/>
          </w:tcPr>
          <w:p w:rsidR="002D09A5" w:rsidRPr="00CC6EA5" w:rsidRDefault="002D09A5" w:rsidP="002D09A5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 w:rsidRPr="00CC6EA5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Manager Transition (Generational transition in family firms- </w:t>
            </w:r>
            <w:proofErr w:type="spellStart"/>
            <w:r w:rsidRPr="00CC6EA5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Pianification</w:t>
            </w:r>
            <w:proofErr w:type="spellEnd"/>
            <w:r w:rsidRPr="00CC6EA5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:rsidR="002D09A5" w:rsidRPr="00CC6EA5" w:rsidRDefault="002D09A5" w:rsidP="002D09A5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 w:rsidRPr="00CC6EA5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Manager Skills transition (knowledge, collaboration, trust, motivation...) and Manager Style.</w:t>
            </w:r>
          </w:p>
          <w:p w:rsidR="00E76BFE" w:rsidRDefault="00E76BFE" w:rsidP="002D09A5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</w:p>
          <w:p w:rsidR="00E76BFE" w:rsidRPr="00E76BFE" w:rsidRDefault="00E76BFE" w:rsidP="00E76BFE">
            <w:pPr>
              <w:ind w:left="0" w:hanging="2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In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this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case, the connection with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skills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identified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in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project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mainly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refers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to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areas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indicated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above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allowing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to face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challenges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related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to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both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organizational-technological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generational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change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by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adopting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flexible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innovative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approach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strongly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centered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on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achieving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goal to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move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to an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organization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oriented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towards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innovation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business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development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in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which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integration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of soft and hard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skills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is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essential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to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plan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and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implement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the </w:t>
            </w:r>
            <w:proofErr w:type="spellStart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transition</w:t>
            </w:r>
            <w:proofErr w:type="spellEnd"/>
            <w:r w:rsidRPr="00E76BF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.</w:t>
            </w:r>
          </w:p>
          <w:p w:rsidR="005E09F8" w:rsidRDefault="005E09F8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bookmarkStart w:id="0" w:name="_GoBack"/>
            <w:bookmarkEnd w:id="0"/>
          </w:p>
        </w:tc>
      </w:tr>
    </w:tbl>
    <w:p w:rsidR="00546780" w:rsidRDefault="00546780" w:rsidP="005E09F8">
      <w:pPr>
        <w:spacing w:line="240" w:lineRule="auto"/>
        <w:ind w:left="0" w:hanging="2"/>
        <w:jc w:val="center"/>
        <w:rPr>
          <w:rFonts w:ascii="Roboto" w:eastAsia="Roboto" w:hAnsi="Roboto" w:cs="Roboto"/>
          <w:color w:val="202124"/>
          <w:sz w:val="20"/>
          <w:szCs w:val="20"/>
          <w:highlight w:val="white"/>
        </w:rPr>
      </w:pPr>
    </w:p>
    <w:p w:rsidR="005E09F8" w:rsidRDefault="005E09F8" w:rsidP="005E09F8">
      <w:pPr>
        <w:spacing w:line="240" w:lineRule="auto"/>
        <w:ind w:left="0" w:hanging="2"/>
        <w:jc w:val="center"/>
        <w:rPr>
          <w:rFonts w:ascii="Roboto" w:eastAsia="Roboto" w:hAnsi="Roboto" w:cs="Roboto"/>
          <w:color w:val="202124"/>
          <w:sz w:val="20"/>
          <w:szCs w:val="20"/>
          <w:highlight w:val="white"/>
        </w:rPr>
      </w:pPr>
    </w:p>
    <w:sectPr w:rsidR="005E09F8">
      <w:headerReference w:type="default" r:id="rId9"/>
      <w:footerReference w:type="default" r:id="rId10"/>
      <w:pgSz w:w="11906" w:h="16838"/>
      <w:pgMar w:top="1417" w:right="991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CA4" w:rsidRDefault="005D0CA4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D0CA4" w:rsidRDefault="005D0CA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780" w:rsidRDefault="0010623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  <w:lang w:val="it-IT" w:eastAsia="it-IT"/>
      </w:rPr>
      <w:drawing>
        <wp:inline distT="0" distB="0" distL="114300" distR="114300">
          <wp:extent cx="1133475" cy="452755"/>
          <wp:effectExtent l="0" t="0" r="0" b="0"/>
          <wp:docPr id="103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452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noProof/>
        <w:color w:val="000000"/>
        <w:lang w:val="it-IT" w:eastAsia="it-IT"/>
      </w:rPr>
      <w:drawing>
        <wp:inline distT="0" distB="0" distL="114300" distR="114300">
          <wp:extent cx="800735" cy="424180"/>
          <wp:effectExtent l="0" t="0" r="0" b="0"/>
          <wp:docPr id="103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735" cy="424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</w:t>
    </w:r>
    <w:r>
      <w:rPr>
        <w:noProof/>
        <w:color w:val="000000"/>
        <w:lang w:val="it-IT" w:eastAsia="it-IT"/>
      </w:rPr>
      <w:drawing>
        <wp:inline distT="0" distB="0" distL="114300" distR="114300">
          <wp:extent cx="1163955" cy="429260"/>
          <wp:effectExtent l="0" t="0" r="0" b="0"/>
          <wp:docPr id="1037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3955" cy="429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</w:t>
    </w:r>
    <w:r>
      <w:rPr>
        <w:noProof/>
        <w:color w:val="000000"/>
        <w:lang w:val="it-IT" w:eastAsia="it-IT"/>
      </w:rPr>
      <w:drawing>
        <wp:inline distT="0" distB="0" distL="114300" distR="114300">
          <wp:extent cx="1344295" cy="399415"/>
          <wp:effectExtent l="0" t="0" r="0" b="0"/>
          <wp:docPr id="1036" name="image8.jpg" descr="C:\Users\Javier Martínez\Desktop\logo-4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 descr="C:\Users\Javier Martínez\Desktop\logo-4 (2)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4295" cy="399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noProof/>
        <w:color w:val="000000"/>
        <w:lang w:val="it-IT" w:eastAsia="it-IT"/>
      </w:rPr>
      <w:drawing>
        <wp:inline distT="0" distB="0" distL="114300" distR="114300">
          <wp:extent cx="552450" cy="551815"/>
          <wp:effectExtent l="0" t="0" r="0" b="0"/>
          <wp:docPr id="1039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551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noProof/>
        <w:color w:val="000000"/>
        <w:lang w:val="it-IT" w:eastAsia="it-IT"/>
      </w:rPr>
      <w:drawing>
        <wp:inline distT="0" distB="0" distL="114300" distR="114300">
          <wp:extent cx="856615" cy="514350"/>
          <wp:effectExtent l="0" t="0" r="0" b="0"/>
          <wp:docPr id="1038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661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46780" w:rsidRDefault="0054678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CA4" w:rsidRDefault="005D0CA4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D0CA4" w:rsidRDefault="005D0CA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780" w:rsidRDefault="00106238">
    <w:pPr>
      <w:ind w:left="0" w:hanging="2"/>
    </w:pPr>
    <w:r>
      <w:rPr>
        <w:b/>
      </w:rPr>
      <w:t xml:space="preserve">                      THL: 2019-1-PL01-KA204-064982</w:t>
    </w:r>
    <w:r>
      <w:rPr>
        <w:noProof/>
        <w:lang w:val="it-IT" w:eastAsia="it-IT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4281805</wp:posOffset>
          </wp:positionH>
          <wp:positionV relativeFrom="paragraph">
            <wp:posOffset>-170179</wp:posOffset>
          </wp:positionV>
          <wp:extent cx="1890395" cy="488315"/>
          <wp:effectExtent l="0" t="0" r="0" b="0"/>
          <wp:wrapSquare wrapText="bothSides" distT="0" distB="0" distL="0" distR="0"/>
          <wp:docPr id="103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0395" cy="488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-405764</wp:posOffset>
          </wp:positionH>
          <wp:positionV relativeFrom="paragraph">
            <wp:posOffset>-376554</wp:posOffset>
          </wp:positionV>
          <wp:extent cx="1460500" cy="839470"/>
          <wp:effectExtent l="0" t="0" r="0" b="0"/>
          <wp:wrapSquare wrapText="bothSides" distT="0" distB="0" distL="114300" distR="114300"/>
          <wp:docPr id="1040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00" cy="839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46780" w:rsidRDefault="0054678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546780" w:rsidRDefault="0054678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31C09"/>
    <w:multiLevelType w:val="hybridMultilevel"/>
    <w:tmpl w:val="97C60C14"/>
    <w:lvl w:ilvl="0" w:tplc="D0F6E4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21549"/>
    <w:multiLevelType w:val="multilevel"/>
    <w:tmpl w:val="963267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30E299E"/>
    <w:multiLevelType w:val="hybridMultilevel"/>
    <w:tmpl w:val="7BD65708"/>
    <w:lvl w:ilvl="0" w:tplc="CB26F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80"/>
    <w:rsid w:val="000C6889"/>
    <w:rsid w:val="00106238"/>
    <w:rsid w:val="00156D1D"/>
    <w:rsid w:val="001E7672"/>
    <w:rsid w:val="002D09A5"/>
    <w:rsid w:val="00317AA5"/>
    <w:rsid w:val="00546780"/>
    <w:rsid w:val="005D0CA4"/>
    <w:rsid w:val="005E09F8"/>
    <w:rsid w:val="00734E0F"/>
    <w:rsid w:val="00813A11"/>
    <w:rsid w:val="00A460C7"/>
    <w:rsid w:val="00AB4BFC"/>
    <w:rsid w:val="00B320A2"/>
    <w:rsid w:val="00B43626"/>
    <w:rsid w:val="00BD68C1"/>
    <w:rsid w:val="00C96189"/>
    <w:rsid w:val="00E429EB"/>
    <w:rsid w:val="00E76BFE"/>
    <w:rsid w:val="00F9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3482"/>
  <w15:docId w15:val="{514F39F6-55EE-443D-BB85-6F5107BF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pl-PL" w:eastAsia="pl-PL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">
    <w:name w:val="Fuente de párrafo predeter.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  <w:qFormat/>
  </w:style>
  <w:style w:type="paragraph" w:customStyle="1" w:styleId="Encabezado">
    <w:name w:val="Encabezado"/>
    <w:basedOn w:val="Normale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Piedepgina">
    <w:name w:val="Pie de página"/>
    <w:basedOn w:val="Normale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extodeglobo">
    <w:name w:val="Texto de globo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Tablaconcuadrcula">
    <w:name w:val="Tabla con cuadrícula"/>
    <w:basedOn w:val="Tablanormal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efdecomentario">
    <w:name w:val="Ref. de comentario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xtocomentario">
    <w:name w:val="Texto comentario"/>
    <w:basedOn w:val="Normale"/>
    <w:qFormat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Asuntodelcomentario">
    <w:name w:val="Asunto del comentario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HTMLconformatoprevio">
    <w:name w:val="HTML con formato previo"/>
    <w:basedOn w:val="Normale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Hipervnculo">
    <w:name w:val="Hipervínculo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D6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eastAsia="Times New Roman" w:hAnsi="Courier New" w:cs="Courier New"/>
      <w:position w:val="0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D68C1"/>
    <w:rPr>
      <w:rFonts w:ascii="Courier New" w:eastAsia="Times New Roman" w:hAnsi="Courier New" w:cs="Courier New"/>
      <w:sz w:val="20"/>
      <w:szCs w:val="20"/>
      <w:lang w:val="it-IT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D09A5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eastAsia="Times New Roman" w:cs="Times New Roman"/>
      <w:position w:val="0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D09A5"/>
    <w:rPr>
      <w:rFonts w:eastAsia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6" Type="http://schemas.openxmlformats.org/officeDocument/2006/relationships/image" Target="media/image9.jpg"/><Relationship Id="rId5" Type="http://schemas.openxmlformats.org/officeDocument/2006/relationships/image" Target="media/image8.png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IZkOYipkxYtfChpDmlmIZVft0Q==">AMUW2mWmI/l3XGVYnd1MhruEHB2OrjMg4tLKF7xnTvab6mOERb3ENtO3FcUnbxnbPYPQapyw4Sn8kOgV/B4PJWsJ3WeROgCBhYe1giEsAOCSNXGrRENPAaw=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Głogowski</dc:creator>
  <cp:lastModifiedBy>Andrea D'Amore</cp:lastModifiedBy>
  <cp:revision>3</cp:revision>
  <dcterms:created xsi:type="dcterms:W3CDTF">2021-02-05T10:46:00Z</dcterms:created>
  <dcterms:modified xsi:type="dcterms:W3CDTF">2021-02-05T10:50:00Z</dcterms:modified>
</cp:coreProperties>
</file>