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FE" w:rsidRDefault="00A434FE" w:rsidP="00A434FE">
      <w:pPr>
        <w:spacing w:line="240" w:lineRule="auto"/>
        <w:ind w:left="2" w:hanging="4"/>
        <w:jc w:val="center"/>
        <w:rPr>
          <w:color w:val="202124"/>
          <w:sz w:val="44"/>
          <w:szCs w:val="44"/>
          <w:highlight w:val="white"/>
        </w:rPr>
      </w:pPr>
      <w:r>
        <w:rPr>
          <w:b/>
          <w:color w:val="202124"/>
          <w:sz w:val="44"/>
          <w:szCs w:val="44"/>
          <w:highlight w:val="white"/>
        </w:rPr>
        <w:t>CASE STUDY</w:t>
      </w:r>
    </w:p>
    <w:p w:rsidR="00A434FE" w:rsidRDefault="00A434FE" w:rsidP="00A434FE">
      <w:pPr>
        <w:spacing w:line="240" w:lineRule="auto"/>
        <w:ind w:left="1" w:hanging="3"/>
        <w:jc w:val="center"/>
        <w:rPr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>Described for the project: “The Hexagonal Leader”</w:t>
      </w:r>
    </w:p>
    <w:tbl>
      <w:tblPr>
        <w:tblW w:w="10348" w:type="dxa"/>
        <w:tblInd w:w="-601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Name of the organization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 xml:space="preserve">DUCATI ENERGIA </w:t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Website of the organization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hyperlink r:id="rId8" w:history="1">
              <w:r w:rsidRPr="007A0F18">
                <w:rPr>
                  <w:rStyle w:val="Collegamentoipertestuale"/>
                  <w:sz w:val="24"/>
                  <w:szCs w:val="24"/>
                  <w:shd w:val="clear" w:color="auto" w:fill="FFFFFF"/>
                  <w:lang w:val="en-US"/>
                </w:rPr>
                <w:t>www.ducatienergia.com</w:t>
              </w:r>
            </w:hyperlink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Logotype of the organization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</w:rPr>
            </w:pP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 w:rsidRPr="00E35286">
              <w:rPr>
                <w:noProof/>
                <w:lang w:val="it-IT" w:eastAsia="it-IT"/>
              </w:rPr>
              <w:drawing>
                <wp:inline distT="0" distB="0" distL="0" distR="0" wp14:anchorId="20312952" wp14:editId="190ADF32">
                  <wp:extent cx="4454525" cy="11620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471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995" cy="116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Type of organization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X </w:t>
            </w:r>
            <w:r>
              <w:rPr>
                <w:color w:val="202124"/>
                <w:sz w:val="24"/>
                <w:szCs w:val="24"/>
                <w:highlight w:val="white"/>
              </w:rPr>
              <w:t>Business organization</w:t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Segoe UI Symbol" w:hAnsi="Segoe UI Symbol" w:cs="Segoe UI Symbol"/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color w:val="365F91"/>
                <w:sz w:val="24"/>
                <w:szCs w:val="24"/>
              </w:rPr>
              <w:t xml:space="preserve">  </w:t>
            </w:r>
            <w:r>
              <w:rPr>
                <w:color w:val="202124"/>
                <w:sz w:val="24"/>
                <w:szCs w:val="24"/>
                <w:highlight w:val="white"/>
              </w:rPr>
              <w:t>Public administration</w:t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Segoe UI Symbol" w:hAnsi="Segoe UI Symbol" w:cs="Segoe UI Symbol"/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color w:val="365F91"/>
                <w:sz w:val="24"/>
                <w:szCs w:val="24"/>
              </w:rPr>
              <w:t xml:space="preserve">  </w:t>
            </w:r>
            <w:r>
              <w:rPr>
                <w:color w:val="202124"/>
                <w:sz w:val="24"/>
                <w:szCs w:val="24"/>
                <w:highlight w:val="white"/>
              </w:rPr>
              <w:t>NGO’s</w:t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Segoe UI Symbol" w:hAnsi="Segoe UI Symbol" w:cs="Segoe UI Symbol"/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color w:val="365F91"/>
                <w:sz w:val="24"/>
                <w:szCs w:val="24"/>
              </w:rPr>
              <w:t xml:space="preserve"> </w:t>
            </w:r>
            <w:r>
              <w:rPr>
                <w:color w:val="202124"/>
                <w:sz w:val="24"/>
                <w:szCs w:val="24"/>
                <w:highlight w:val="white"/>
              </w:rPr>
              <w:t>Others (what kind?) ..............................................</w:t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Size of the organization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Segoe UI Symbol" w:hAnsi="Segoe UI Symbol" w:cs="Segoe UI Symbol"/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202124"/>
                <w:sz w:val="24"/>
                <w:szCs w:val="24"/>
                <w:highlight w:val="white"/>
              </w:rPr>
              <w:t>Small</w:t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Segoe UI Symbol" w:hAnsi="Segoe UI Symbol" w:cs="Segoe UI Symbol"/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color w:val="202124"/>
                <w:sz w:val="24"/>
                <w:szCs w:val="24"/>
                <w:highlight w:val="white"/>
              </w:rPr>
              <w:t>Medium</w:t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X </w:t>
            </w:r>
            <w:r>
              <w:rPr>
                <w:color w:val="202124"/>
                <w:sz w:val="24"/>
                <w:szCs w:val="24"/>
                <w:highlight w:val="white"/>
              </w:rPr>
              <w:t>Large</w:t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Economic sector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Meccanica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impianti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Brief description of the organization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b/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DUCATI energia</w:t>
            </w: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 deve la sua fama ai fratelli Ducati che nel 1926 diedero avvio all'attività industriale DUCATI cui farà seguito, 22 anni dopo, la suddivisione in DUCATI Elettrotecnica e DUCATI Meccanica (oggi DUCATI Motor).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AD6E2A">
              <w:rPr>
                <w:b/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DUCATI energia </w:t>
            </w: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nasce nel 1985 dall'unione di DUCATI Elettrotecnica e di Zanussi Elettromeccanica-Divisione Generatori e rappresenta una delle realtà industriali storiche del territorio bolognese.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Oggi il </w:t>
            </w:r>
            <w:r w:rsidRPr="00AD6E2A">
              <w:rPr>
                <w:b/>
                <w:bCs/>
                <w:color w:val="202124"/>
                <w:sz w:val="24"/>
                <w:szCs w:val="24"/>
                <w:shd w:val="clear" w:color="auto" w:fill="FFFFFF"/>
                <w:lang w:val="it-IT"/>
              </w:rPr>
              <w:t>Gruppo DUCATI energia</w:t>
            </w: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 conta circa 1250 dipendenti distribuiti in 9 stabilimenti in tutto il mondo ed opera in diversi settori di attività tra cui: condensatori, rifasamento industriale ed elettronica di potenza, generatori eolici, alternatori e sistemi di accensione per motori endotermici, veicoli elettrici e colonnine di ricarica, analizzatori di energia, sistemi per il telecontrollo delle reti elettriche, segnalamento ferroviario, sistemi ed apparecchiature autostradali e per il trasporto pubblico.</w:t>
            </w:r>
          </w:p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Le aziende del gruppo:</w:t>
            </w:r>
          </w:p>
          <w:p w:rsidR="00A434FE" w:rsidRPr="00AD6E2A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DUCATI Energia S.p.A.</w:t>
            </w:r>
          </w:p>
          <w:p w:rsidR="00A434FE" w:rsidRPr="00AD6E2A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DUCATI Energia Romania s.a. </w:t>
            </w:r>
          </w:p>
          <w:p w:rsidR="00A434FE" w:rsidRPr="00AD6E2A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DUCATI </w:t>
            </w: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Komponenti</w:t>
            </w:r>
            <w:proofErr w:type="spellEnd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d.o.o</w:t>
            </w:r>
            <w:proofErr w:type="spellEnd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</w:p>
          <w:p w:rsidR="00A434FE" w:rsidRPr="00AD6E2A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DUCATI Energia India </w:t>
            </w: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Pvt</w:t>
            </w:r>
            <w:proofErr w:type="spellEnd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. Ltd. </w:t>
            </w:r>
          </w:p>
          <w:p w:rsidR="00A434FE" w:rsidRPr="00AD6E2A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C.R.D. Centro Ricerche Ducati Trento S.r.l.</w:t>
            </w:r>
          </w:p>
          <w:p w:rsidR="00A434FE" w:rsidRPr="00AD6E2A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DUCATI Energia Sud America s.a.</w:t>
            </w:r>
          </w:p>
          <w:p w:rsidR="00A434FE" w:rsidRPr="00AD6E2A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DUCATI Energia Do </w:t>
            </w: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Brasil</w:t>
            </w:r>
            <w:proofErr w:type="spellEnd"/>
          </w:p>
          <w:p w:rsidR="00A434FE" w:rsidRPr="00AD6E2A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Telefin</w:t>
            </w:r>
            <w:proofErr w:type="spellEnd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S.p.A.</w:t>
            </w:r>
          </w:p>
          <w:p w:rsidR="00A434FE" w:rsidRPr="00AD6E2A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Nuraia</w:t>
            </w:r>
            <w:proofErr w:type="spellEnd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AD6E2A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S.r.L.</w:t>
            </w:r>
            <w:proofErr w:type="spellEnd"/>
          </w:p>
          <w:p w:rsidR="00A434FE" w:rsidRPr="00AD6E2A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Azienda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conta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diverse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produttive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sedi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italia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all’estero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compreso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unitamente</w:t>
            </w:r>
            <w:proofErr w:type="spellEnd"/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ad un Centro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Ricerca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Sviluppo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prodotti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principali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sono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:</w:t>
            </w:r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regolatori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rifasamento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parking systems,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rifasamento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industriale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filtri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attivi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condensatori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elettronica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potenza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condensatori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industriali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AC,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generatori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strumenti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misura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energia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segnalamento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ferroviario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ITS ( intelligent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trasportation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system), ticketing,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mobilità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sostenibile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A434FE" w:rsidRDefault="00A434FE" w:rsidP="0021128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Case study description (situation / the problem they are facing)  [max 2000 characters]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Le continue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sfide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mercato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e</w:t>
            </w:r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le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nuove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evoluzioni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atto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mettono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gioco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risorse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competenze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attraverso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un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integrazione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costante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aree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aziendali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della casa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madre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aziende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con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sedi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all’estero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presidiano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realizzazono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tutto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o in parte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prodotti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processi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produttivi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impongono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nuovi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modelli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organizzazione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lavoro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flussi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L’integrazione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aree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aziendali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riorganizzazione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dell’area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ricerca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sviluppo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rappresentano</w:t>
            </w:r>
            <w:proofErr w:type="spellEnd"/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sfide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costanti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l’impresa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deve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affrontare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intercettando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sempre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nuove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strade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rimanere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competitiva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Nello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specifico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fa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riferimento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all’esigenza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emersa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negli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ultimi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anni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necessario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un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integrazione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costante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risorse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persone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progettualità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integrare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aree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afferenti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 diverse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sedi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lastRenderedPageBreak/>
              <w:t>produttive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ricerca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sviluppo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inevitabilemente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portato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ad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ridefinzione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funzioni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e 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ruoli</w:t>
            </w:r>
            <w:proofErr w:type="spellEnd"/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all’interno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Gruppo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lavoro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Le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logiche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mercato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impongono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un’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ottimizazione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delle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risorse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interne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esterne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rimanere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competitivi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hanno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fatto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emergere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necessità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individuare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figure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assumessero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maggiore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termini di presidio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sviluppo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specifici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/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commesse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 tempo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stesso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fossero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grado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coordinare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gestire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micro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gruppi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lavoro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funzionali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snellire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processi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procedure. Tale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esigenza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risultava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inoltre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funzionale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programmazione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gestione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ordini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pluriennali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produzioni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serie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su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larga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scala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A434FE" w:rsidRDefault="00A434FE" w:rsidP="0021128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Suggested solutions (added pros and cons)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A434FE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Definzione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nuovi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ruoli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redistribuzione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incarichi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e</w:t>
            </w:r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deleghe</w:t>
            </w:r>
            <w:proofErr w:type="spellEnd"/>
          </w:p>
          <w:p w:rsidR="00A434FE" w:rsidRDefault="00A434FE" w:rsidP="00A434FE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Assunzione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nuovo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personale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434FE" w:rsidRDefault="00A434FE" w:rsidP="00A434FE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Ricerca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consulenti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esterni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assegnazione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parti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/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attività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434FE" w:rsidRDefault="00A434FE" w:rsidP="0021128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Chosen solution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spacing w:after="0"/>
              <w:ind w:left="0" w:hanging="2"/>
              <w:rPr>
                <w:color w:val="202124"/>
                <w:sz w:val="24"/>
                <w:szCs w:val="24"/>
              </w:rPr>
            </w:pPr>
            <w:r w:rsidRPr="003B4C7E">
              <w:rPr>
                <w:color w:val="202124"/>
                <w:sz w:val="24"/>
                <w:szCs w:val="24"/>
              </w:rPr>
              <w:t>Definizione di nuovi ruoli e responsabilità e ridistribuzione di compiti e deleghe</w:t>
            </w:r>
          </w:p>
          <w:p w:rsidR="00A434FE" w:rsidRDefault="00A434FE" w:rsidP="0021128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Rationale of the decision taken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proprietà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aziendale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direzione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generale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hanno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ritenuto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rilevante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valorizzare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le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risorse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interne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attraverso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definzione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nuove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gestire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situazione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contesto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interna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esterna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impone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l’adozione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nuove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logiche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integrazione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sviluppo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passanno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dalla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gestione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presidio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complessi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Tale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scelta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resiede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inoltre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nella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volontà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investire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sulle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risorse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interne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detentori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un know-how </w:t>
            </w:r>
            <w:proofErr w:type="spellStart"/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tecnico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specialistico</w:t>
            </w:r>
            <w:proofErr w:type="spellEnd"/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alto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livello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mantenuto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valorizzato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gestire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situazioni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cambiamento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sviluppo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evolutivo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A434FE" w:rsidRDefault="00A434FE" w:rsidP="0021128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Solution implemented in practice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Nella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pratica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è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stata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realizzata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mappatura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carichi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lavoro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delle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risorse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disponibili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Il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dirigente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dell’area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ricerca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sviluppo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individuato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le figure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possesso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competenze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tecniche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organizzative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gestionali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valutando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anche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propensione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all’assunzione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propensione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proattività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alla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risoluzione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problemi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Tale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approccio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preso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pertanto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cosiderazione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come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fattori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determinanti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le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competenze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tecniche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unite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soft skills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intese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come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quelle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competenze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essenziali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determinati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presa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carico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complessi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A434FE" w:rsidRPr="009B1145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L’individuazione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delle figure interne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all’azienda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 cui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delegare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funzioni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rappresentato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il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primo step.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Successivamente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sono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state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implementate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soluzioni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delega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con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assegnare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altri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conseguimento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risultati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trattandosi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B114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ttività</w:t>
            </w:r>
            <w:proofErr w:type="spellEnd"/>
            <w:r w:rsidRPr="009B114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114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complesse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con f</w:t>
            </w:r>
            <w:r w:rsidRPr="009B114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orte </w:t>
            </w:r>
            <w:proofErr w:type="spellStart"/>
            <w:r w:rsidRPr="009B114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orientamento</w:t>
            </w:r>
            <w:proofErr w:type="spellEnd"/>
            <w:r w:rsidRPr="009B114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9B114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risultato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Tale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approccio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richiesto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messa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sistema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tempi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più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lunghi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ma è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risultata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più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efficace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nel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tempo. </w:t>
            </w:r>
            <w:r w:rsidRPr="009B114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Il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processo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delega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è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attivato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mediante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analisi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situazione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risorse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contesto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definizione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obiettivi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chiari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condivisi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messa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punto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linee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guida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/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regole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monitiraggio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verifica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risultati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L’investimento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termini di tempo da parte del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dirigente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attivare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il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processo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delega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è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consistente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previsto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un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periodo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affiancamento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mentorship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è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risultato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funzionale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efficace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costruire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il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team di project manager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attualmente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presidiano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linee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produzione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complessi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relazionandosi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con le diverse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sedi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Gruppo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Italia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nelle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sedi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estere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dirigente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implementato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tale </w:t>
            </w:r>
            <w:proofErr w:type="spellStart"/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soluzione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in</w:t>
            </w:r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termini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strategie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modalità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sua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volta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aveva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appreso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dal “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suo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mentor”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lo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aveva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supportato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nel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suo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percorso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crescita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all’interno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dell’azienda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 </w:t>
            </w:r>
          </w:p>
          <w:p w:rsidR="00A434FE" w:rsidRDefault="00A434FE" w:rsidP="0021128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Lesson learned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211285">
            <w:pPr>
              <w:pStyle w:val="Testocommento"/>
              <w:spacing w:after="0"/>
              <w:ind w:hanging="2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Investire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sulle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risorse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umane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sulla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loro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valorizzazione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attraverso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piani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trasferimento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competenze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agevola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</w:p>
          <w:p w:rsidR="00A434FE" w:rsidRDefault="00A434FE" w:rsidP="00A434FE">
            <w:pPr>
              <w:pStyle w:val="Testocommento"/>
              <w:numPr>
                <w:ilvl w:val="0"/>
                <w:numId w:val="8"/>
              </w:numPr>
              <w:spacing w:after="0"/>
              <w:ind w:left="0" w:hanging="2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processi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apprendimento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condivisione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know-how,</w:t>
            </w:r>
          </w:p>
          <w:p w:rsidR="00A434FE" w:rsidRDefault="00A434FE" w:rsidP="00A434FE">
            <w:pPr>
              <w:pStyle w:val="Testocommento"/>
              <w:numPr>
                <w:ilvl w:val="0"/>
                <w:numId w:val="8"/>
              </w:numPr>
              <w:spacing w:after="0"/>
              <w:ind w:left="0" w:hanging="2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individua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processi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funzioni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chiare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condivise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A434FE" w:rsidRDefault="00A434FE" w:rsidP="00A434FE">
            <w:pPr>
              <w:pStyle w:val="Testocommento"/>
              <w:numPr>
                <w:ilvl w:val="0"/>
                <w:numId w:val="8"/>
              </w:numPr>
              <w:spacing w:after="0"/>
              <w:ind w:left="0" w:hanging="2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definisce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step di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monitoraggio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controllo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A434FE" w:rsidRDefault="00A434FE" w:rsidP="00A434FE">
            <w:pPr>
              <w:pStyle w:val="Testocommento"/>
              <w:numPr>
                <w:ilvl w:val="0"/>
                <w:numId w:val="8"/>
              </w:numPr>
              <w:spacing w:after="0"/>
              <w:ind w:left="0" w:hanging="2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redistribuisce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carichi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lavoro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A434FE" w:rsidRDefault="00A434FE" w:rsidP="00A434FE">
            <w:pPr>
              <w:pStyle w:val="Testocommento"/>
              <w:numPr>
                <w:ilvl w:val="0"/>
                <w:numId w:val="8"/>
              </w:numPr>
              <w:spacing w:after="0"/>
              <w:ind w:left="0" w:hanging="2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libera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tempo e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risorse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alcune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funzionidi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staff/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direzione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A434FE" w:rsidRPr="008874F6" w:rsidRDefault="00A434FE" w:rsidP="00A434FE">
            <w:pPr>
              <w:pStyle w:val="Testocommento"/>
              <w:numPr>
                <w:ilvl w:val="0"/>
                <w:numId w:val="8"/>
              </w:numPr>
              <w:spacing w:after="0"/>
              <w:ind w:left="0" w:hanging="2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motiva</w:t>
            </w:r>
            <w:proofErr w:type="spellEnd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 </w:t>
            </w:r>
            <w:proofErr w:type="spellStart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collaboratori</w:t>
            </w:r>
            <w:proofErr w:type="spellEnd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il</w:t>
            </w:r>
            <w:proofErr w:type="spellEnd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team</w:t>
            </w:r>
          </w:p>
          <w:p w:rsidR="00A434FE" w:rsidRPr="008874F6" w:rsidRDefault="00A434FE" w:rsidP="00A434FE">
            <w:pPr>
              <w:pStyle w:val="Testocommento"/>
              <w:numPr>
                <w:ilvl w:val="0"/>
                <w:numId w:val="8"/>
              </w:numPr>
              <w:spacing w:after="0"/>
              <w:ind w:left="0" w:hanging="2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valorizza</w:t>
            </w:r>
            <w:proofErr w:type="spellEnd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talenti</w:t>
            </w:r>
            <w:proofErr w:type="spellEnd"/>
          </w:p>
          <w:p w:rsidR="00A434FE" w:rsidRDefault="00A434FE" w:rsidP="00A434FE">
            <w:pPr>
              <w:pStyle w:val="Testocommento"/>
              <w:numPr>
                <w:ilvl w:val="0"/>
                <w:numId w:val="8"/>
              </w:numPr>
              <w:spacing w:after="0"/>
              <w:ind w:left="0" w:hanging="2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stimola</w:t>
            </w:r>
            <w:proofErr w:type="spellEnd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collaborazione</w:t>
            </w:r>
            <w:proofErr w:type="spellEnd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434FE" w:rsidRDefault="00A434FE" w:rsidP="00A434FE">
            <w:pPr>
              <w:pStyle w:val="Testocommento"/>
              <w:numPr>
                <w:ilvl w:val="0"/>
                <w:numId w:val="8"/>
              </w:numPr>
              <w:spacing w:after="0"/>
              <w:ind w:left="0" w:hanging="2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riconosce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cultura</w:t>
            </w:r>
            <w:proofErr w:type="spellEnd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dell’apprendimento</w:t>
            </w:r>
            <w:proofErr w:type="spellEnd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dall’errore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8874F6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434FE" w:rsidRDefault="00A434FE" w:rsidP="0021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A434FE" w:rsidTr="00211285">
        <w:tc>
          <w:tcPr>
            <w:tcW w:w="10348" w:type="dxa"/>
            <w:shd w:val="clear" w:color="auto" w:fill="002060"/>
          </w:tcPr>
          <w:p w:rsidR="00A434FE" w:rsidRDefault="00A434FE" w:rsidP="00211285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Connection to the six skills depicted in the project</w:t>
            </w:r>
          </w:p>
        </w:tc>
      </w:tr>
      <w:tr w:rsidR="00A434FE" w:rsidTr="00211285">
        <w:tc>
          <w:tcPr>
            <w:tcW w:w="10348" w:type="dxa"/>
          </w:tcPr>
          <w:p w:rsidR="00A434FE" w:rsidRDefault="00A434FE" w:rsidP="00A434FE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Manager Skills  </w:t>
            </w:r>
          </w:p>
          <w:p w:rsidR="00A434FE" w:rsidRDefault="00A434FE" w:rsidP="00A434FE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Delegation Style</w:t>
            </w:r>
          </w:p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Le skills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maggiormente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connesse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 Hexagonal Leader project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sono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primis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le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competenze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manageriali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afferenti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stile di leadership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adottare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portamenti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coerenti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ruolo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alla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gestione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dei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collaboratori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unitamente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riconoscimento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dell</w:t>
            </w:r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’importanza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della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motivazione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del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clima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fiducia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all’interno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dell’organizzazione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valorizzazione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performance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individuali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aziendali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L’adozione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stile di leadership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partecipato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permesso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 manager di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forn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ire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supporto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incoraggiando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suoi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collaboratori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intervenire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solo in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caso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necessità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demandando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della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struttura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lavoro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ai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singoli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mantendendo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un alto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livello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di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interazione</w:t>
            </w:r>
            <w:proofErr w:type="spellEnd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E0D51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interpersonale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A434FE" w:rsidRPr="001F114F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  <w:p w:rsidR="00A434FE" w:rsidRDefault="00A434FE" w:rsidP="0021128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Altra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skills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connessa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Hexagonal leader fa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riferimento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processo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delega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è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stato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necessario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poter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fronteggiare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il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passaggio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funzioni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alcuni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staff- project manager</w:t>
            </w:r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Lo stile di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delega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adottato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ha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integrato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uno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stile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2E4ACD">
              <w:rPr>
                <w:i/>
                <w:iCs/>
                <w:color w:val="202124"/>
                <w:sz w:val="24"/>
                <w:szCs w:val="24"/>
                <w:shd w:val="clear" w:color="auto" w:fill="FFFFFF"/>
                <w:lang w:val="en-US"/>
              </w:rPr>
              <w:t>Open door</w:t>
            </w:r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in cui Il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sostegno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 manager ha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contribuito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alla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presa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carico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delle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responsabilità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da parte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dei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delegati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unitamente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all’utilizzo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sistemi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condivisi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Knowledge management e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all’organizzazione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frequenti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incontri</w:t>
            </w:r>
            <w:proofErr w:type="spellEnd"/>
            <w:r w:rsidRPr="002E4AC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team.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pianifcazione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condivisa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l’utilizzo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strumenti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gestionali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condivisi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ha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permesso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creare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un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Gruppo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project manager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lastRenderedPageBreak/>
              <w:t>presidiano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linee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produzione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complessi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relazionandosi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con le diverse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sedi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Gruppo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sia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Italia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nelle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sedi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estere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A434FE" w:rsidRDefault="00A434FE" w:rsidP="0021128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</w:tbl>
    <w:p w:rsidR="00A434FE" w:rsidRDefault="00A434FE" w:rsidP="00A434FE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:rsidR="00A434FE" w:rsidRDefault="00A434FE" w:rsidP="00A434FE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bookmarkStart w:id="0" w:name="_GoBack"/>
      <w:bookmarkEnd w:id="0"/>
    </w:p>
    <w:sectPr w:rsidR="00A434FE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1C" w:rsidRDefault="007F6E1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F6E1C" w:rsidRDefault="007F6E1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80" w:rsidRDefault="001062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114300" distR="114300">
          <wp:extent cx="1133475" cy="452755"/>
          <wp:effectExtent l="0" t="0" r="0" b="0"/>
          <wp:docPr id="10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800735" cy="424180"/>
          <wp:effectExtent l="0" t="0" r="0" b="0"/>
          <wp:docPr id="10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42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>
          <wp:extent cx="1163955" cy="429260"/>
          <wp:effectExtent l="0" t="0" r="0" b="0"/>
          <wp:docPr id="10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>
          <wp:extent cx="1344295" cy="399415"/>
          <wp:effectExtent l="0" t="0" r="0" b="0"/>
          <wp:docPr id="1036" name="image8.jpg" descr="C:\Users\Javier Martínez\Desktop\logo-4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:\Users\Javier Martínez\Desktop\logo-4 (2)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29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552450" cy="551815"/>
          <wp:effectExtent l="0" t="0" r="0" b="0"/>
          <wp:docPr id="103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856615" cy="514350"/>
          <wp:effectExtent l="0" t="0" r="0" b="0"/>
          <wp:docPr id="1038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1C" w:rsidRDefault="007F6E1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F6E1C" w:rsidRDefault="007F6E1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80" w:rsidRDefault="00106238">
    <w:pPr>
      <w:ind w:left="0" w:hanging="2"/>
    </w:pPr>
    <w:r>
      <w:rPr>
        <w:b/>
      </w:rPr>
      <w:t xml:space="preserve">                      THL: 2019-1-PL01-KA204-064982</w:t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4281805</wp:posOffset>
          </wp:positionH>
          <wp:positionV relativeFrom="paragraph">
            <wp:posOffset>-170179</wp:posOffset>
          </wp:positionV>
          <wp:extent cx="1890395" cy="488315"/>
          <wp:effectExtent l="0" t="0" r="0" b="0"/>
          <wp:wrapSquare wrapText="bothSides" distT="0" distB="0" distL="0" distR="0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395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-405764</wp:posOffset>
          </wp:positionH>
          <wp:positionV relativeFrom="paragraph">
            <wp:posOffset>-376554</wp:posOffset>
          </wp:positionV>
          <wp:extent cx="1460500" cy="839470"/>
          <wp:effectExtent l="0" t="0" r="0" b="0"/>
          <wp:wrapSquare wrapText="bothSides" distT="0" distB="0" distL="114300" distR="114300"/>
          <wp:docPr id="104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10DC"/>
    <w:multiLevelType w:val="hybridMultilevel"/>
    <w:tmpl w:val="EC006164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C56"/>
    <w:multiLevelType w:val="hybridMultilevel"/>
    <w:tmpl w:val="2B0498E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8197CE6"/>
    <w:multiLevelType w:val="hybridMultilevel"/>
    <w:tmpl w:val="88EE9664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1549"/>
    <w:multiLevelType w:val="multilevel"/>
    <w:tmpl w:val="96326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583D64"/>
    <w:multiLevelType w:val="hybridMultilevel"/>
    <w:tmpl w:val="D696D0A2"/>
    <w:lvl w:ilvl="0" w:tplc="4F6421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3F2C"/>
    <w:multiLevelType w:val="hybridMultilevel"/>
    <w:tmpl w:val="5882F7F6"/>
    <w:lvl w:ilvl="0" w:tplc="D0F6E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07833"/>
    <w:multiLevelType w:val="hybridMultilevel"/>
    <w:tmpl w:val="3DC06256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34C74"/>
    <w:multiLevelType w:val="hybridMultilevel"/>
    <w:tmpl w:val="A84052F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6EFB7447"/>
    <w:multiLevelType w:val="hybridMultilevel"/>
    <w:tmpl w:val="2B1E84B0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0"/>
    <w:rsid w:val="000C6889"/>
    <w:rsid w:val="00106238"/>
    <w:rsid w:val="00156D1D"/>
    <w:rsid w:val="001E7672"/>
    <w:rsid w:val="00317AA5"/>
    <w:rsid w:val="003B4C7E"/>
    <w:rsid w:val="00546780"/>
    <w:rsid w:val="005E09F8"/>
    <w:rsid w:val="00734E0F"/>
    <w:rsid w:val="007412C0"/>
    <w:rsid w:val="007E4481"/>
    <w:rsid w:val="007F6E1C"/>
    <w:rsid w:val="00813A11"/>
    <w:rsid w:val="00A34FF1"/>
    <w:rsid w:val="00A434FE"/>
    <w:rsid w:val="00AB4BFC"/>
    <w:rsid w:val="00B320A2"/>
    <w:rsid w:val="00B43626"/>
    <w:rsid w:val="00BD68C1"/>
    <w:rsid w:val="00D30D81"/>
    <w:rsid w:val="00E4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58C"/>
  <w15:docId w15:val="{514F39F6-55EE-443D-BB85-6F5107B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l-PL" w:eastAsia="pl-PL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Encabezado">
    <w:name w:val="Encabezado"/>
    <w:basedOn w:val="Normale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ormale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globo">
    <w:name w:val="Texto de globo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decomentario">
    <w:name w:val="Ref. de comentario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ormale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suntodelcomentario">
    <w:name w:val="Asunto del comentario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HTMLconformatoprevio">
    <w:name w:val="HTML con formato previo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6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68C1"/>
    <w:rPr>
      <w:rFonts w:ascii="Courier New" w:eastAsia="Times New Roman" w:hAnsi="Courier New" w:cs="Courier New"/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7412C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12C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12C0"/>
    <w:rPr>
      <w:rFonts w:eastAsia="Times New Roman" w:cs="Times New Roman"/>
      <w:sz w:val="20"/>
      <w:szCs w:val="20"/>
      <w:lang w:val="pl-PL" w:eastAsia="pl-PL"/>
    </w:rPr>
  </w:style>
  <w:style w:type="character" w:styleId="Collegamentoipertestuale">
    <w:name w:val="Hyperlink"/>
    <w:uiPriority w:val="99"/>
    <w:unhideWhenUsed/>
    <w:rsid w:val="00A434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atienerg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ZkOYipkxYtfChpDmlmIZVft0Q==">AMUW2mWmI/l3XGVYnd1MhruEHB2OrjMg4tLKF7xnTvab6mOERb3ENtO3FcUnbxnbPYPQapyw4Sn8kOgV/B4PJWsJ3WeROgCBhYe1giEsAOCSNXGrRENPAaw=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Głogowski</dc:creator>
  <cp:lastModifiedBy>Andrea D'Amore</cp:lastModifiedBy>
  <cp:revision>3</cp:revision>
  <dcterms:created xsi:type="dcterms:W3CDTF">2021-02-17T14:15:00Z</dcterms:created>
  <dcterms:modified xsi:type="dcterms:W3CDTF">2021-02-17T14:15:00Z</dcterms:modified>
</cp:coreProperties>
</file>